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7A" w:rsidRPr="000B4D7A" w:rsidRDefault="00BC469C" w:rsidP="009C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</w:t>
      </w:r>
      <w:r w:rsidR="000B4D7A"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обращениями граждан  на территории Тарского муниципального района в 2017 году</w:t>
      </w:r>
    </w:p>
    <w:p w:rsidR="000B4D7A" w:rsidRPr="000B4D7A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 органы местного самоуправления Тарского муниципального района (администрации) поступило и рассмотрено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1027 обращений граждан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содержится 1170 вопросов. Из них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147(14,3%) обращений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(156 вопросов) поступило в администрации сельских поселений,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527(51,3%) обращения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(584 вопросов) в Администрацию Тарского городского поселения и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353(34,3%) обращения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(430 вопросов) в Администрацию Тарского муниципального района </w:t>
      </w:r>
    </w:p>
    <w:p w:rsidR="000B4D7A" w:rsidRPr="000B4D7A" w:rsidRDefault="000B4D7A" w:rsidP="000B4D7A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353 обращений, поступивших в Администрацию Тарского района 52 обращения (52 вопроса)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поступили непосредственно в организацию</w:t>
      </w:r>
      <w:r w:rsidR="00C7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69C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руководителям района обратились 100 человек, Главой Тарского муниципального района принято 89 человек.(39,9% от общего количества граждан района, обратившихся на личный прием), главами сельских поселений 36 (16,1 %), Главой Тарского городского поселения принято 87 человек (39%)</w:t>
      </w:r>
      <w:r w:rsidRPr="000B4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7A" w:rsidRPr="00312E3F" w:rsidRDefault="000B4D7A" w:rsidP="0085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за прошедший год поступило 659 по району в целом, из них 201(30,5% от общего количества письменных обращений по району) в Администрацию Тарского муниципального района, 440(66,7%) в Администрацию Тарского городского поселения, 18(2,7%) в </w:t>
      </w:r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сельских поселений</w:t>
      </w:r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числа письменных обращений направленных в Администрацию Тарского муниципального района 151 поступило от органов государственной власти и должностных лиц (увеличение по сравнению с 2016годом-113), 44 из Администрации Президента РФ, 11 из них рассмотрено с дополнительным контролем. </w:t>
      </w:r>
    </w:p>
    <w:p w:rsidR="000B4D7A" w:rsidRPr="000B4D7A" w:rsidRDefault="000B4D7A" w:rsidP="00856A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поручение Президента, Омская область участвует в пилотном проекте по применению в постоянном режиме видео-конференц-связи, видеосвязи, </w:t>
      </w:r>
      <w:proofErr w:type="spellStart"/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видов </w:t>
      </w:r>
      <w:proofErr w:type="gramStart"/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системы личного приема граждан Портала</w:t>
      </w:r>
      <w:proofErr w:type="gramEnd"/>
      <w:r w:rsidRPr="0031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ССТУ.РФ. С этой целью в Администрации Тарского муниципального района в 2017году функционировали все необходимые технические и организационные ресурсы в ежедневном режиме с 14.00 до 18.00, во всех тестовых соединениях с иными субъектами РФ уполномоченные лица Администрации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участие.</w:t>
      </w:r>
    </w:p>
    <w:p w:rsidR="000B4D7A" w:rsidRPr="000B4D7A" w:rsidRDefault="000B4D7A" w:rsidP="0085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17 апреля 2017 г. №171 администрации поселений и района ежемесячно до 5 числа месяца, следующего за отчетным, направляют в электронном виде отчеты об обращениях граждан Тарского района и о принятых по ним мерам в Администрацию Президента РФ, для анализа обращений и мониторинга инициатив от российских граждан. </w:t>
      </w:r>
      <w:proofErr w:type="gramEnd"/>
    </w:p>
    <w:p w:rsidR="009C763E" w:rsidRPr="000B4D7A" w:rsidRDefault="009C763E" w:rsidP="009C763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Тарского муниципального района в 2017году все 353 обращения стояли на контроле, из них 151 на особом контроле, 11 на дополнительном.</w:t>
      </w:r>
      <w:proofErr w:type="gramEnd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171 обращение, 39 на сходе граждан. Из 100 обращений, поступивших в ходе личного приема к руководителю 23(23%)удовлетворены, 1(1%)отказано, 6(6%)переадресованы, остальные 78 (78 %)разъяснены. Количество вопросов на личном приеме (из 117), </w:t>
      </w:r>
      <w:proofErr w:type="gramStart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типам (по вопросам): заявлений 100, жалоб 10, предложений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63E" w:rsidRDefault="009C763E" w:rsidP="009C763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201 письменного обращения(261 вопрос) в Администрацию Тарского муниципального района 49(18,7%) вопросов удовлетворено, 203 (77,7%) разъяснено, 2 (0,7%)отказано, 6(2,2%) переадресовано. Количество </w:t>
      </w:r>
      <w:proofErr w:type="gramStart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содержащихся в письменных обращениях распределились</w:t>
      </w:r>
      <w:proofErr w:type="gramEnd"/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типам (по вопросам): заявлений 238, жалоб 15, предложений 8</w:t>
      </w:r>
    </w:p>
    <w:p w:rsidR="009C763E" w:rsidRDefault="009C763E" w:rsidP="009C763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3E" w:rsidRDefault="009C763E" w:rsidP="009C763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3E" w:rsidRDefault="009C763E" w:rsidP="009C763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3E" w:rsidRPr="000B4D7A" w:rsidRDefault="009C763E" w:rsidP="009C763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7A" w:rsidRPr="00BC469C" w:rsidRDefault="000B4D7A" w:rsidP="000B4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обращений граждан за 2011-2017 годы</w:t>
      </w:r>
    </w:p>
    <w:p w:rsidR="000B4D7A" w:rsidRPr="000B4D7A" w:rsidRDefault="000B4D7A" w:rsidP="000B4D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1139"/>
        <w:gridCol w:w="712"/>
        <w:gridCol w:w="855"/>
        <w:gridCol w:w="996"/>
        <w:gridCol w:w="996"/>
        <w:gridCol w:w="855"/>
        <w:gridCol w:w="2656"/>
      </w:tblGrid>
      <w:tr w:rsidR="000B4D7A" w:rsidRPr="000B4D7A" w:rsidTr="009C763E">
        <w:trPr>
          <w:trHeight w:val="1104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9C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Тарского муниципального  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</w:tr>
      <w:tr w:rsidR="000B4D7A" w:rsidRPr="000B4D7A" w:rsidTr="009C763E">
        <w:trPr>
          <w:trHeight w:val="21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1027</w:t>
            </w:r>
          </w:p>
        </w:tc>
      </w:tr>
      <w:tr w:rsidR="000B4D7A" w:rsidRPr="000B4D7A" w:rsidTr="009C763E">
        <w:trPr>
          <w:trHeight w:val="43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Тарского муниципального района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</w:tr>
      <w:tr w:rsidR="000B4D7A" w:rsidRPr="000B4D7A" w:rsidTr="009C763E">
        <w:trPr>
          <w:trHeight w:val="444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Тарского городского поселения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</w:t>
            </w:r>
          </w:p>
        </w:tc>
      </w:tr>
      <w:tr w:rsidR="000B4D7A" w:rsidRPr="000B4D7A" w:rsidTr="009C763E">
        <w:trPr>
          <w:trHeight w:val="34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</w:tr>
      <w:tr w:rsidR="000B4D7A" w:rsidRPr="000B4D7A" w:rsidTr="009C763E">
        <w:trPr>
          <w:trHeight w:val="444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органов государственной власти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</w:tr>
      <w:tr w:rsidR="000B4D7A" w:rsidRPr="000B4D7A" w:rsidTr="009C763E">
        <w:trPr>
          <w:trHeight w:val="43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приём Главы Тарского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0B4D7A" w:rsidRPr="000B4D7A" w:rsidTr="009C763E">
        <w:trPr>
          <w:trHeight w:val="444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эфир главы Тарского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B4D7A" w:rsidRPr="000B4D7A" w:rsidTr="009C763E">
        <w:trPr>
          <w:trHeight w:val="43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Выездной прием Главы Тарского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0B4D7A" w:rsidRPr="000B4D7A" w:rsidTr="009C763E">
        <w:trPr>
          <w:trHeight w:val="61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обращения в Администрацию Тарского района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7A" w:rsidRPr="000B4D7A" w:rsidRDefault="000B4D7A" w:rsidP="000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</w:tr>
    </w:tbl>
    <w:p w:rsidR="00C71362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общероссийский классификатор обращений граждан позволяет вести мониторинг 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тематической структуры обращений</w:t>
      </w: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2017год тематическая картина остается стабильной с незначительными изменениями по сравнению с предыдущими годами</w:t>
      </w:r>
      <w:r w:rsid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7A" w:rsidRPr="009C763E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 в районе по суммированному количественному показателю стоят вопросы раздела «Экономика» 624 вопроса(53,33%), где наблюдается тенденция к росту количества обращений по вопросам строительства и реконструкции объектов дорожного хозяйства, градостроительства и архитектуры,</w:t>
      </w:r>
      <w:r w:rsidR="009C763E"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газификации, </w:t>
      </w:r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сельского хозяйства, работы транспорта (город), бытового обслуживания населения (сельские поселения), природных ресурсов и охраны окружающей среды (район).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тематике городских обращений экономические вопросы занимают 71 % и 25% из них решаются удовлетворительно, что указывает на имеющийся потенциал развития городского хозяйства, в тоже время из раздела «Жилищно-коммунальной сфера» из 138 вопросов 53 решены удовлетворительно(9%), остальные разъяснены.</w:t>
      </w:r>
    </w:p>
    <w:p w:rsidR="000B4D7A" w:rsidRPr="009C763E" w:rsidRDefault="000B4D7A" w:rsidP="000B4D7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Многочисленные обращения граждан Тарского района по ремонту и строительству дорожного полотна в 2017году получили положительной разрешение: участие в реализации государственной программы Омской области «Развитие транспортной системы Омской области» позволило отремонтировать порядка 25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тыс.кв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полотна, выполнить работы по ремонту автомобильных дорог на следующих улицах г. Тара: ул. Чкалова (от ул. 7-я Линия до ул. Советская), ул. Советская (от 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ул. Гвардейская до ул. Транспортная), ул. Республики (от ул. Чкалова до пер.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Лермонтовский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), пер.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Лермонтовский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(от ул. Транспортная до ул. Республики), ул. Школьная, ул. Университетская, ул. 1-я Рабочая на общую сумму 31 783,9 тыс. руб., произвести отсыпку щебнем 4,7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. дорожного покрытия улиц Кузнечная и 40 лет ВЛКСМ. </w:t>
      </w:r>
      <w:proofErr w:type="gramEnd"/>
    </w:p>
    <w:p w:rsidR="000B4D7A" w:rsidRPr="009C763E" w:rsidRDefault="000B4D7A" w:rsidP="000B4D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выполнены работы по ремонту автомобильных дорог в границах </w:t>
      </w:r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на следующих объектах: ремонт автомобильной дороги по ул. Центральная в с. Орлово – 3 182,4 тыс. руб., ремонт автомобильной дороги по ул.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Комунны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Фрунзе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2 387,4 тыс. руб., ремонт автомобильной дороги по ул. Березовая в с.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Ложниково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2 387,4 тыс. руб. В целом за 2017 год обеспечено содержание, капитальный ремонт, строительство и реконструкция автомобильных дорог на сумму 174 521,1 тыс. руб.</w:t>
      </w:r>
    </w:p>
    <w:p w:rsidR="000B4D7A" w:rsidRPr="009C763E" w:rsidRDefault="000B4D7A" w:rsidP="000B4D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Это примеры взаимодействия администраций района и поселений с гражданами по вопросам улучшения качества жизни, созданию комфортных условий для проживания, благодаря активной гражданской позиции населения, сообща, добиваемся общих целей. Так, после коллективных обращений жителей с.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Чекрушево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в районную Администрацию осуществлен ремонт автомобильной дороги по ул. Зеленая в с.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Чекрушево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( 2 472,0 тыс. руб.), завершены работы по строительству улично-дорожной сети в микрорайоне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Чекрушанский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екрушево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. ( 43 451,55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.) Дорога введена в эксплуатацию. После обращений граждан в органы местного самоуправления, за счет средств местного бюджета выполнены работы по ремонту участка автомобильной дороги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горовка-с.Литковка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915,4 тыс. руб.</w:t>
      </w:r>
    </w:p>
    <w:p w:rsidR="000B4D7A" w:rsidRPr="009C763E" w:rsidRDefault="000B4D7A" w:rsidP="000B4D7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В том числе, учитывая предложения земляков, завершены аварийно-восстановительные работы по ликвидации последствий паводка 2016 года на объектах: автомобильная дорога, ул. Интернациональная в с. Большие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автомобильная дорога, ул. Молодёжная в с. Большие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автомобильная дорога, ул.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Солдатовская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в с. Большие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автомобильный мост через р. Оша в с. Большие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автомобильная дорога, ул. Набережная в д.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Кубрино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, автомобильная дорога, ул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. Зелёная в с.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Ложниково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втомобильная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дорога, ул. Тарская в с.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Ложниково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автомобильный мост через 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Атачка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в с. Междуречье, автомобильная дорога по дамбе через 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Крапивка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в д.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Крапивка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, автомобильная дорога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Кириллино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Чеченево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» от автомобильной дороги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Ложниково-Кириллино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» до жилого дома №29 дер.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Чеченево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по ул. Школьная, автомобильная дорога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Любимово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–"Тара–Колосовка–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Старосолдатовское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", автомобильная дорога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Свидерск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–"Тара–Колосовка–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Старосолдатовское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", автомобильная дорога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Сибиляково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–"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Пологрудово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Самсоново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". На 2 объектах работы завершены в полном объеме: автомобильный мост через р.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Зимовная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, ул. Центральная в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агорное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, автомобильная дорога 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Егорока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Литковка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» (от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Мартюшево-Егоровка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»). Общая стоимость объектов составляет 21 028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D7A" w:rsidRPr="009C763E" w:rsidRDefault="000B4D7A" w:rsidP="000B4D7A">
      <w:pPr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Жители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Ложниково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поднимали проблему обеспечения питьевой водой жителей села и вопрос начал решаться, в этом году завершены работы по подготовке проектно-сметный документации на «Строительство водозабора подземных вод (разведочно-эксплуатационной скважины) для водоснабжения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ожниково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Тарского района Омской области». Сданы документы для прохождения экспертизы в ФАУ «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России». Стоимость ПСД составила 610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. Стоимость строительства составляет 4 335,75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D7A" w:rsidRPr="009C763E" w:rsidRDefault="000B4D7A" w:rsidP="000B4D7A">
      <w:pPr>
        <w:tabs>
          <w:tab w:val="left" w:pos="851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Проблемы обеспечения жильем по прежнему одна из важнейших, в 2017 г. Администрацией района введено в эксплуатацию жилых помещений в количестве 3943 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жилья; выдано 34 разрешения на строительство капитальных объектов в сельских 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поселениях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района; 24 разрешения на ввод в эксплуатацию капитальных объектов в сельских поселениях района. За 2017 год сформировано и предоставлено в собственность многодетным семьям 49 земельных участков для </w:t>
      </w:r>
      <w:r w:rsidR="009C763E" w:rsidRPr="009C763E">
        <w:rPr>
          <w:rFonts w:ascii="Times New Roman" w:eastAsia="Times New Roman" w:hAnsi="Times New Roman" w:cs="Times New Roman"/>
          <w:sz w:val="28"/>
          <w:szCs w:val="28"/>
        </w:rPr>
        <w:t>ИЖС</w:t>
      </w:r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в м/</w:t>
      </w:r>
      <w:proofErr w:type="gramStart"/>
      <w:r w:rsidRPr="009C763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C763E">
        <w:rPr>
          <w:rFonts w:ascii="Times New Roman" w:eastAsia="Times New Roman" w:hAnsi="Times New Roman" w:cs="Times New Roman"/>
          <w:sz w:val="28"/>
          <w:szCs w:val="28"/>
        </w:rPr>
        <w:t>Карбышевский</w:t>
      </w:r>
      <w:proofErr w:type="spellEnd"/>
      <w:r w:rsidRPr="009C763E">
        <w:rPr>
          <w:rFonts w:ascii="Times New Roman" w:eastAsia="Times New Roman" w:hAnsi="Times New Roman" w:cs="Times New Roman"/>
          <w:sz w:val="28"/>
          <w:szCs w:val="28"/>
        </w:rPr>
        <w:t xml:space="preserve">” и на площадке комплексной застройки “Аэропорт”. </w:t>
      </w:r>
      <w:proofErr w:type="gramStart"/>
      <w:r w:rsidRPr="009C763E">
        <w:rPr>
          <w:rFonts w:ascii="Times New Roman" w:eastAsia="Calibri" w:hAnsi="Times New Roman" w:cs="Arial"/>
          <w:sz w:val="28"/>
          <w:szCs w:val="28"/>
        </w:rPr>
        <w:t xml:space="preserve">С целью увеличения ввода жилья в Тарском районе проводится работа по оформлению площадки комплексной застройки в с. </w:t>
      </w:r>
      <w:proofErr w:type="spellStart"/>
      <w:r w:rsidRPr="009C763E">
        <w:rPr>
          <w:rFonts w:ascii="Times New Roman" w:eastAsia="Calibri" w:hAnsi="Times New Roman" w:cs="Arial"/>
          <w:sz w:val="28"/>
          <w:szCs w:val="28"/>
        </w:rPr>
        <w:t>Заливино</w:t>
      </w:r>
      <w:proofErr w:type="spellEnd"/>
      <w:r w:rsidRPr="009C763E">
        <w:rPr>
          <w:rFonts w:ascii="Times New Roman" w:eastAsia="Calibri" w:hAnsi="Times New Roman" w:cs="Arial"/>
          <w:sz w:val="28"/>
          <w:szCs w:val="28"/>
        </w:rPr>
        <w:t xml:space="preserve"> из федеральной собственности в собственность </w:t>
      </w:r>
      <w:proofErr w:type="spellStart"/>
      <w:r w:rsidRPr="009C763E">
        <w:rPr>
          <w:rFonts w:ascii="Times New Roman" w:eastAsia="Calibri" w:hAnsi="Times New Roman" w:cs="Arial"/>
          <w:sz w:val="28"/>
          <w:szCs w:val="28"/>
        </w:rPr>
        <w:t>Заливинского</w:t>
      </w:r>
      <w:proofErr w:type="spellEnd"/>
      <w:r w:rsidRPr="009C763E">
        <w:rPr>
          <w:rFonts w:ascii="Times New Roman" w:eastAsia="Calibri" w:hAnsi="Times New Roman" w:cs="Arial"/>
          <w:sz w:val="28"/>
          <w:szCs w:val="28"/>
        </w:rPr>
        <w:t xml:space="preserve"> сельского поселения.</w:t>
      </w:r>
      <w:proofErr w:type="gramEnd"/>
      <w:r w:rsidRPr="009C763E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9C763E">
        <w:rPr>
          <w:rFonts w:ascii="Times New Roman" w:eastAsia="Calibri" w:hAnsi="Times New Roman" w:cs="Times New Roman"/>
          <w:sz w:val="28"/>
          <w:szCs w:val="28"/>
        </w:rPr>
        <w:t xml:space="preserve">В 2017 году врачам БУЗОО «Тарская ЦРБ» по договору служебного найма предоставлено 5 квартир муниципального специализированного жилищного фонда. В соответствии с Указом Президента РФ выплачена единовременная выплата на </w:t>
      </w:r>
      <w:r w:rsidRPr="009C76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строительство или приобретение жилого помещения 2 гражданам  вдовам участников </w:t>
      </w:r>
      <w:r w:rsidR="009C763E" w:rsidRPr="009C763E">
        <w:rPr>
          <w:rFonts w:ascii="Times New Roman" w:eastAsia="Calibri" w:hAnsi="Times New Roman" w:cs="Times New Roman"/>
          <w:sz w:val="28"/>
          <w:szCs w:val="28"/>
        </w:rPr>
        <w:t>ВОВ</w:t>
      </w:r>
      <w:r w:rsidRPr="009C763E">
        <w:rPr>
          <w:rFonts w:ascii="Times New Roman" w:eastAsia="Calibri" w:hAnsi="Times New Roman" w:cs="Times New Roman"/>
          <w:sz w:val="28"/>
          <w:szCs w:val="28"/>
        </w:rPr>
        <w:t xml:space="preserve"> на общую сумму 2 388 384 рубля. На основании Федерального закона «О ветеранах» предоставлена единовременная денежная выплата на строительство или приобретение жилого помещения 3 гражданам (инвалидам) на общую сумму 1 791 288 рублей.</w:t>
      </w:r>
    </w:p>
    <w:p w:rsidR="00312E3F" w:rsidRPr="000B4D7A" w:rsidRDefault="00312E3F" w:rsidP="000B4D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0B4D7A" w:rsidRPr="000B4D7A" w:rsidRDefault="00312E3F" w:rsidP="000B4D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678FA7" wp14:editId="18FEDFCC">
            <wp:extent cx="557212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B4D7A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C71362" w:rsidRPr="000B4D7A" w:rsidRDefault="00C71362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0B4D7A" w:rsidRPr="00312E3F" w:rsidRDefault="00312E3F" w:rsidP="00312E3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312E3F">
        <w:rPr>
          <w:b/>
          <w:noProof/>
          <w:lang w:eastAsia="ru-RU"/>
        </w:rPr>
        <w:drawing>
          <wp:inline distT="0" distB="0" distL="0" distR="0" wp14:anchorId="04DC5EB1" wp14:editId="15296E04">
            <wp:extent cx="5448300" cy="2952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4D7A" w:rsidRDefault="000B4D7A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C71362" w:rsidRPr="000B4D7A" w:rsidRDefault="00C71362" w:rsidP="000B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BD31B6" w:rsidRDefault="00312E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6E4E64" wp14:editId="2FC242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48300" cy="2790825"/>
            <wp:effectExtent l="0" t="0" r="1905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br w:type="textWrapping" w:clear="all"/>
      </w:r>
    </w:p>
    <w:p w:rsidR="00856A67" w:rsidRDefault="00856A67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E5" w:rsidRDefault="00F410E5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2E3F" w:rsidRPr="00AF03E9" w:rsidRDefault="00312E3F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>Тематика вопросов, поставленных в обращениях</w:t>
      </w:r>
    </w:p>
    <w:p w:rsidR="00312E3F" w:rsidRPr="00AF03E9" w:rsidRDefault="00312E3F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 xml:space="preserve"> граждан Тарского района в 2017 году </w:t>
      </w:r>
    </w:p>
    <w:p w:rsidR="00312E3F" w:rsidRPr="00AF03E9" w:rsidRDefault="00312E3F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F03E9"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 w:rsidRPr="00AF03E9">
        <w:rPr>
          <w:rFonts w:ascii="Times New Roman" w:hAnsi="Times New Roman" w:cs="Times New Roman"/>
          <w:b/>
          <w:sz w:val="24"/>
          <w:szCs w:val="24"/>
        </w:rPr>
        <w:t xml:space="preserve"> по району)</w:t>
      </w:r>
    </w:p>
    <w:p w:rsidR="00312E3F" w:rsidRPr="00EE0F6C" w:rsidRDefault="00312E3F" w:rsidP="0031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3F" w:rsidRDefault="00312E3F" w:rsidP="00312E3F">
      <w:r>
        <w:rPr>
          <w:noProof/>
          <w:lang w:eastAsia="ru-RU"/>
        </w:rPr>
        <w:drawing>
          <wp:inline distT="0" distB="0" distL="0" distR="0" wp14:anchorId="4A781916" wp14:editId="7C674924">
            <wp:extent cx="5486400" cy="3025140"/>
            <wp:effectExtent l="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E3F" w:rsidRDefault="00312E3F" w:rsidP="00312E3F"/>
    <w:p w:rsidR="00312E3F" w:rsidRPr="00AF03E9" w:rsidRDefault="00312E3F" w:rsidP="0031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>Тематика вопросов поставленных в  обращениях  граждан в Администрацию Тарского муниципального района  в 2017году</w:t>
      </w:r>
    </w:p>
    <w:p w:rsidR="00312E3F" w:rsidRDefault="00312E3F" w:rsidP="00312E3F">
      <w:r>
        <w:rPr>
          <w:noProof/>
          <w:lang w:eastAsia="ru-RU"/>
        </w:rPr>
        <w:drawing>
          <wp:inline distT="0" distB="0" distL="0" distR="0" wp14:anchorId="216DD65A" wp14:editId="0DC5004F">
            <wp:extent cx="5684520" cy="3916680"/>
            <wp:effectExtent l="0" t="0" r="1143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2E3F" w:rsidRDefault="00312E3F" w:rsidP="00312E3F"/>
    <w:p w:rsidR="009C763E" w:rsidRDefault="009C763E" w:rsidP="00312E3F"/>
    <w:p w:rsidR="00312E3F" w:rsidRDefault="00312E3F" w:rsidP="00312E3F"/>
    <w:p w:rsidR="00312E3F" w:rsidRPr="00AF03E9" w:rsidRDefault="00312E3F" w:rsidP="0031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lastRenderedPageBreak/>
        <w:t>Тематика вопросов поставленных в  обращениях  граждан в Администрацию Тарского городского поселения  в 2017 году</w:t>
      </w:r>
    </w:p>
    <w:p w:rsidR="00312E3F" w:rsidRDefault="00312E3F" w:rsidP="00312E3F">
      <w:r>
        <w:rPr>
          <w:noProof/>
          <w:lang w:eastAsia="ru-RU"/>
        </w:rPr>
        <w:drawing>
          <wp:inline distT="0" distB="0" distL="0" distR="0" wp14:anchorId="59A9805C" wp14:editId="56AE22F6">
            <wp:extent cx="5433060" cy="3329940"/>
            <wp:effectExtent l="0" t="0" r="1524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2E3F" w:rsidRDefault="00312E3F" w:rsidP="0031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3F" w:rsidRPr="00AF03E9" w:rsidRDefault="00312E3F" w:rsidP="0031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>Тематика вопросов поставленных в  обращениях  граждан в Администрации  сельских поселений Тарского района    в 2017 году</w:t>
      </w:r>
    </w:p>
    <w:p w:rsidR="00312E3F" w:rsidRDefault="00312E3F" w:rsidP="00312E3F">
      <w:r>
        <w:rPr>
          <w:noProof/>
          <w:lang w:eastAsia="ru-RU"/>
        </w:rPr>
        <w:drawing>
          <wp:inline distT="0" distB="0" distL="0" distR="0" wp14:anchorId="71801387" wp14:editId="597A0BEA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2E3F" w:rsidRDefault="00312E3F" w:rsidP="00312E3F"/>
    <w:p w:rsidR="00312E3F" w:rsidRDefault="00312E3F"/>
    <w:sectPr w:rsidR="00312E3F" w:rsidSect="009C763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AE"/>
    <w:rsid w:val="000B4D7A"/>
    <w:rsid w:val="002E3F2D"/>
    <w:rsid w:val="00312E3F"/>
    <w:rsid w:val="00856A67"/>
    <w:rsid w:val="009C763E"/>
    <w:rsid w:val="00BC469C"/>
    <w:rsid w:val="00BD31B6"/>
    <w:rsid w:val="00C71362"/>
    <w:rsid w:val="00F15BAE"/>
    <w:rsid w:val="00F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2017году </a:t>
            </a:r>
          </a:p>
        </c:rich>
      </c:tx>
      <c:layout>
        <c:manualLayout>
          <c:xMode val="edge"/>
          <c:yMode val="edge"/>
          <c:x val="0.12554389034703994"/>
          <c:y val="1.6745743790120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287292213473316E-2"/>
          <c:y val="0.23973883672020763"/>
          <c:w val="0.46461632400116654"/>
          <c:h val="0.583884568624468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14.3</c:v>
                </c:pt>
                <c:pt idx="1">
                  <c:v>51.3</c:v>
                </c:pt>
                <c:pt idx="2">
                  <c:v>34.299999999999997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794044202418627"/>
          <c:y val="0.37854406130268198"/>
          <c:w val="0.32747575823855352"/>
          <c:h val="0.4533568661299504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2017году в ходе личного приема </a:t>
            </a:r>
          </a:p>
        </c:rich>
      </c:tx>
      <c:layout>
        <c:manualLayout>
          <c:xMode val="edge"/>
          <c:yMode val="edge"/>
          <c:x val="0.13248833479148439"/>
          <c:y val="1.674794139429194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16.100000000000001</c:v>
                </c:pt>
                <c:pt idx="1">
                  <c:v>39</c:v>
                </c:pt>
                <c:pt idx="2">
                  <c:v>39.9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2017 году  в письменном виде</a:t>
            </a:r>
          </a:p>
        </c:rich>
      </c:tx>
      <c:layout>
        <c:manualLayout>
          <c:xMode val="edge"/>
          <c:yMode val="edge"/>
          <c:x val="0.12554389034703994"/>
          <c:y val="1.6745743790120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2.7</c:v>
                </c:pt>
                <c:pt idx="1">
                  <c:v>66.7</c:v>
                </c:pt>
                <c:pt idx="2">
                  <c:v>30.5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91251093613302E-2"/>
          <c:y val="0.10867959829958283"/>
          <c:w val="0.58404636920384956"/>
          <c:h val="0.79943341465188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2.8997612277631962E-2"/>
                  <c:y val="4.24135742478034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общество.политика</c:v>
                </c:pt>
                <c:pt idx="1">
                  <c:v>Социальная сфера 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2.3099999999999999E-2</c:v>
                </c:pt>
                <c:pt idx="1">
                  <c:v>0.1239</c:v>
                </c:pt>
                <c:pt idx="2">
                  <c:v>0.5333</c:v>
                </c:pt>
                <c:pt idx="3">
                  <c:v>8.5000000000000006E-3</c:v>
                </c:pt>
                <c:pt idx="4">
                  <c:v>0.31109999999999999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1776027996503"/>
          <c:y val="0.18883108361454817"/>
          <c:w val="0.2736563137941091"/>
          <c:h val="0.751841943347586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730249871581065E-2"/>
          <c:y val="9.8167836024388E-2"/>
          <c:w val="0.61429390696136177"/>
          <c:h val="0.845817375940847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общество.политика</c:v>
                </c:pt>
                <c:pt idx="1">
                  <c:v>Социальная сфера 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4.19E-2</c:v>
                </c:pt>
                <c:pt idx="1">
                  <c:v>0.20699999999999999</c:v>
                </c:pt>
                <c:pt idx="2">
                  <c:v>0.3674</c:v>
                </c:pt>
                <c:pt idx="3">
                  <c:v>1.6299999999999999E-2</c:v>
                </c:pt>
                <c:pt idx="4">
                  <c:v>0.3674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общество.политика</c:v>
                </c:pt>
                <c:pt idx="1">
                  <c:v>Социальная сфера 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0.01</c:v>
                </c:pt>
                <c:pt idx="1">
                  <c:v>4.6199999999999998E-2</c:v>
                </c:pt>
                <c:pt idx="2">
                  <c:v>0.70550000000000002</c:v>
                </c:pt>
                <c:pt idx="3">
                  <c:v>0</c:v>
                </c:pt>
                <c:pt idx="4">
                  <c:v>0.23630000000000001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1776027996503"/>
          <c:y val="0.18883108361454817"/>
          <c:w val="0.2736563137941091"/>
          <c:h val="0.598528308961379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общество.политика</c:v>
                </c:pt>
                <c:pt idx="1">
                  <c:v>Социальная сфера 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0.01</c:v>
                </c:pt>
                <c:pt idx="1">
                  <c:v>0.18590000000000001</c:v>
                </c:pt>
                <c:pt idx="2">
                  <c:v>0.34620000000000001</c:v>
                </c:pt>
                <c:pt idx="3">
                  <c:v>1.9199999999999998E-2</c:v>
                </c:pt>
                <c:pt idx="4">
                  <c:v>0.43590000000000001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1776027996503"/>
          <c:y val="0.18883108361454817"/>
          <c:w val="0.2736563137941091"/>
          <c:h val="0.598528308961379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cp:lastPrinted>2018-02-02T05:56:00Z</cp:lastPrinted>
  <dcterms:created xsi:type="dcterms:W3CDTF">2018-02-02T05:10:00Z</dcterms:created>
  <dcterms:modified xsi:type="dcterms:W3CDTF">2018-02-02T06:14:00Z</dcterms:modified>
</cp:coreProperties>
</file>