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4DDC612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F3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3821623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F3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Мерецкого</w:t>
      </w:r>
      <w:proofErr w:type="spellEnd"/>
      <w:r w:rsidR="007F3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3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учтенных объектов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F3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которые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BA1E5C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55:27:160101:3090, площ</w:t>
      </w:r>
      <w:r w:rsid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70.9 кв. м., расположенный</w:t>
      </w:r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р-н, с. </w:t>
      </w:r>
      <w:proofErr w:type="spellStart"/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3, и земельный участок</w:t>
      </w:r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кадастровым номером 55:27:160101:189, площадь</w:t>
      </w:r>
      <w:r w:rsid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ю 1600 кв. м., расположенный</w:t>
      </w:r>
      <w:bookmarkStart w:id="0" w:name="_GoBack"/>
      <w:bookmarkEnd w:id="0"/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район, с. </w:t>
      </w:r>
      <w:proofErr w:type="spellStart"/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7F3B7D" w:rsidRPr="007F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д.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2254AC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3B7D" w:rsidRPr="007F3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Мерецкий</w:t>
      </w:r>
      <w:proofErr w:type="spellEnd"/>
      <w:r w:rsidR="007F3B7D" w:rsidRPr="007F3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Игорь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3B7D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45668D2B-0941-4A3A-982C-AB686D9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2025-01-21T10:39:00Z</dcterms:modified>
</cp:coreProperties>
</file>