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E1" w:rsidRPr="00FA0901" w:rsidRDefault="000C4CE1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8240" filled="f" stroked="f">
            <v:textbox>
              <w:txbxContent>
                <w:p w:rsidR="000C4CE1" w:rsidRPr="001B1AFA" w:rsidRDefault="000C4CE1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A090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0C4CE1" w:rsidRPr="00FA0901" w:rsidRDefault="000C4CE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0C4CE1" w:rsidRPr="00FA0901" w:rsidRDefault="000C4CE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0C4CE1" w:rsidRPr="00FA0901" w:rsidRDefault="000C4CE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0C4CE1" w:rsidRPr="00FA0901" w:rsidRDefault="000C4CE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4CE1" w:rsidRPr="00FA0901" w:rsidRDefault="000C4CE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0C4CE1" w:rsidRPr="00FA0901" w:rsidRDefault="000C4CE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0C4CE1" w:rsidRPr="00FA0901" w:rsidRDefault="000C4CE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0C4CE1" w:rsidRPr="00FA0901" w:rsidTr="00356C62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годы(далее – муниципальная программа)</w:t>
            </w:r>
          </w:p>
        </w:tc>
      </w:tr>
      <w:tr w:rsidR="000C4CE1" w:rsidRPr="00FA0901" w:rsidTr="00356C62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района»(далее – подпрограмма)</w:t>
            </w:r>
          </w:p>
        </w:tc>
      </w:tr>
      <w:tr w:rsidR="000C4CE1" w:rsidRPr="00FA0901" w:rsidTr="00356C62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</w:t>
            </w:r>
            <w:bookmarkStart w:id="0" w:name="_GoBack"/>
            <w:bookmarkEnd w:id="0"/>
            <w:r w:rsidRPr="00FA0901">
              <w:rPr>
                <w:rFonts w:ascii="Times New Roman" w:hAnsi="Times New Roman"/>
                <w:sz w:val="24"/>
                <w:szCs w:val="24"/>
              </w:rPr>
              <w:t>ющегося соисполнителем муниципальной программы.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0C4CE1" w:rsidRPr="00FA0901" w:rsidTr="00356C62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0C4CE1" w:rsidRPr="00FA0901" w:rsidTr="00795338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0C4CE1" w:rsidRPr="00FA0901" w:rsidTr="007872D9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0C4CE1" w:rsidRPr="00FA0901" w:rsidTr="007872D9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0C4CE1" w:rsidRPr="00FA0901" w:rsidTr="007872D9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0C4CE1" w:rsidRPr="00FA0901" w:rsidRDefault="000C4CE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2.Создание условий для успешной социализации и эффективной самореализации молодых граждан,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0C4CE1" w:rsidRPr="00FA0901" w:rsidTr="007872D9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0C4CE1" w:rsidRPr="00FA0901" w:rsidTr="007872D9"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50 324 584,23</w:t>
            </w:r>
            <w:r w:rsidRPr="00FA0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руб., в том числе:</w:t>
            </w:r>
          </w:p>
          <w:p w:rsidR="000C4CE1" w:rsidRPr="00FA0901" w:rsidRDefault="000C4CE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0C4CE1" w:rsidRPr="00FA0901" w:rsidRDefault="000C4CE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247 496,52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0C4CE1" w:rsidRPr="00FA0901" w:rsidRDefault="000C4CE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9 617 917,28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C4CE1" w:rsidRPr="00FA0901" w:rsidRDefault="000C4CE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9 407 627,18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0C4CE1" w:rsidRPr="00FA0901" w:rsidRDefault="000C4CE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6 327 083,98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0C4CE1" w:rsidRPr="00FA0901" w:rsidRDefault="000C4CE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2025 год – 7 000 000,00 руб.</w:t>
            </w:r>
          </w:p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0C4CE1" w:rsidRPr="00FA0901" w:rsidTr="00803DEC">
        <w:trPr>
          <w:trHeight w:val="2105"/>
        </w:trPr>
        <w:tc>
          <w:tcPr>
            <w:tcW w:w="4536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0C4CE1" w:rsidRPr="00FA0901" w:rsidRDefault="000C4CE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42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общей численности обучающихся с 85,7процен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кономике с 24,5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33,9процентов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34,3 процентов в 2025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 лет с 13,4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 со 117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>
              <w:rPr>
                <w:rFonts w:ascii="Times New Roman" w:hAnsi="Times New Roman"/>
                <w:sz w:val="24"/>
                <w:szCs w:val="24"/>
              </w:rPr>
              <w:t>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0C4CE1" w:rsidRPr="00FA0901" w:rsidRDefault="000C4CE1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от 8,3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0C4CE1" w:rsidRPr="00FA0901" w:rsidRDefault="000C4CE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256BC9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 одним из приоритетных направлений социальной политики в Тарском районе, важнейшим средством оздоровления населения района, гражданского и патриотического воспитания детей и молодёжи.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 студенческая и работающая молодежь, молодые семьи и др.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 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2021 году составил 41,2%. Общая численность физкультурников и спортсменов составила более 13 тыс. человек.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 недостаточным кадровым обеспечением отрасли физической культуры.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256BC9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0C4CE1" w:rsidRPr="00256BC9" w:rsidRDefault="000C4CE1" w:rsidP="00256BC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256BC9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256BC9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0C4CE1" w:rsidRPr="00256BC9" w:rsidRDefault="000C4CE1" w:rsidP="00256BC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Численность молодых граждан в возрасте 14 – 35 лет, проживающих на территории Тарского муниципального района Омской области на начало 2021 года, составила 12842 человека.</w:t>
      </w:r>
    </w:p>
    <w:p w:rsidR="000C4CE1" w:rsidRPr="00256BC9" w:rsidRDefault="000C4CE1" w:rsidP="00256BC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2500 человек являются участниками детских 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19,5 %.</w:t>
      </w:r>
    </w:p>
    <w:p w:rsidR="000C4CE1" w:rsidRPr="00256BC9" w:rsidRDefault="000C4CE1" w:rsidP="00256BC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2021 года составило 14000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0C4CE1" w:rsidRPr="00256BC9" w:rsidRDefault="000C4CE1" w:rsidP="00256B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2021 года в Тарском районе проживают 2400 несовершеннолетних в возрасте от 10 до 18 лет. 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 Данная форма оздоровления несовершеннолетних является малозатратной и позволяет создать условия для личностного развития, а также формирования активной гражданской позиции подростков через разнообразную деятельность. В 2021 году в условиях палаточного лагеря отдохнули 100 детей и подростков, 50 из которых – дети, попавшие в трудную жизненную ситуацию.</w:t>
      </w:r>
    </w:p>
    <w:p w:rsidR="000C4CE1" w:rsidRPr="00256BC9" w:rsidRDefault="000C4CE1" w:rsidP="00256BC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0C4CE1" w:rsidRPr="00256BC9" w:rsidRDefault="000C4CE1" w:rsidP="00256BC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0C4CE1" w:rsidRPr="00256BC9" w:rsidRDefault="000C4CE1" w:rsidP="00256BC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В 2021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0C4CE1" w:rsidRPr="00256BC9" w:rsidRDefault="000C4CE1" w:rsidP="00256BC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0C4CE1" w:rsidRPr="00256BC9" w:rsidRDefault="000C4CE1" w:rsidP="00256BC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0C4CE1" w:rsidRPr="00256BC9" w:rsidRDefault="000C4CE1" w:rsidP="00256BC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256BC9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0C4CE1" w:rsidRPr="00256BC9" w:rsidRDefault="000C4CE1" w:rsidP="00256BC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 оздоровления и занятости</w:t>
      </w:r>
      <w:r w:rsidRPr="00256BC9">
        <w:rPr>
          <w:rFonts w:ascii="Times New Roman" w:hAnsi="Times New Roman" w:cs="Times New Roman"/>
          <w:sz w:val="24"/>
          <w:szCs w:val="24"/>
        </w:rPr>
        <w:t>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 xml:space="preserve">В состав подпрограммы входят два основных мероприятия: «Развитие </w:t>
      </w:r>
      <w:r w:rsidRPr="00256BC9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256BC9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256BC9">
        <w:rPr>
          <w:rFonts w:ascii="Times New Roman" w:hAnsi="Times New Roman"/>
          <w:color w:val="000000"/>
          <w:sz w:val="24"/>
          <w:szCs w:val="24"/>
        </w:rPr>
        <w:t>».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 xml:space="preserve">«Развитие </w:t>
      </w:r>
      <w:r w:rsidRPr="00256BC9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- «Развитие материально-технической базы»;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- «Капитальный ремонт и материально-техническое оснащение объектов, находящихся в муниципальной собственности».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256BC9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256BC9">
        <w:rPr>
          <w:rFonts w:ascii="Times New Roman" w:hAnsi="Times New Roman"/>
          <w:bCs/>
          <w:sz w:val="24"/>
          <w:szCs w:val="24"/>
        </w:rPr>
        <w:t>включает в себя одно мероприятие: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Pr="00256BC9">
        <w:rPr>
          <w:rFonts w:ascii="Times New Roman" w:hAnsi="Times New Roman"/>
          <w:color w:val="000000"/>
          <w:sz w:val="24"/>
          <w:szCs w:val="24"/>
        </w:rPr>
        <w:t xml:space="preserve">50 324 584,23 </w:t>
      </w:r>
      <w:r w:rsidRPr="00256BC9">
        <w:rPr>
          <w:rFonts w:ascii="Times New Roman" w:hAnsi="Times New Roman"/>
          <w:sz w:val="24"/>
          <w:szCs w:val="24"/>
        </w:rPr>
        <w:t>руб., в том числе:</w:t>
      </w:r>
    </w:p>
    <w:p w:rsidR="000C4CE1" w:rsidRPr="00256BC9" w:rsidRDefault="000C4CE1" w:rsidP="00256BC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>2020 год – 8 724 459,27руб.</w:t>
      </w:r>
    </w:p>
    <w:p w:rsidR="000C4CE1" w:rsidRPr="00256BC9" w:rsidRDefault="000C4CE1" w:rsidP="00256BC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>2021 год – 9 247 496,52 руб.</w:t>
      </w:r>
    </w:p>
    <w:p w:rsidR="000C4CE1" w:rsidRPr="00256BC9" w:rsidRDefault="000C4CE1" w:rsidP="00256BC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>2022 год – 9 617 917,28 руб.</w:t>
      </w:r>
    </w:p>
    <w:p w:rsidR="000C4CE1" w:rsidRPr="00256BC9" w:rsidRDefault="000C4CE1" w:rsidP="00256BC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>2023 год – 9 407 627,18 руб.</w:t>
      </w:r>
    </w:p>
    <w:p w:rsidR="000C4CE1" w:rsidRPr="00256BC9" w:rsidRDefault="000C4CE1" w:rsidP="00256BC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>2024 год – 6 327 083,98 руб.</w:t>
      </w:r>
    </w:p>
    <w:p w:rsidR="000C4CE1" w:rsidRPr="00256BC9" w:rsidRDefault="000C4CE1" w:rsidP="00256BC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>2025 год – 7 000 000,00 руб.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 средства районного бюджета: 50 324 584,23 руб.</w:t>
      </w:r>
    </w:p>
    <w:p w:rsidR="000C4CE1" w:rsidRPr="00256BC9" w:rsidRDefault="000C4CE1" w:rsidP="00256BC9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- средства областного бюджета: 0,00 руб.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увеличение доли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256BC9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256BC9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256BC9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256BC9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участвующих в деятельности молодежных общественных организаций и объединений, в общей численности молодежи в возрасте от 14 до 35 лет с 13,2% в 2020 году до 14% в 2025 году</w:t>
      </w:r>
      <w:r w:rsidRPr="00256BC9">
        <w:rPr>
          <w:rFonts w:ascii="Times New Roman" w:hAnsi="Times New Roman"/>
          <w:color w:val="000000"/>
          <w:sz w:val="24"/>
          <w:szCs w:val="24"/>
        </w:rPr>
        <w:t>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256BC9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со 117% в 2020 году до 119% в 2025 году;</w:t>
      </w:r>
    </w:p>
    <w:p w:rsidR="000C4CE1" w:rsidRPr="00256BC9" w:rsidRDefault="000C4CE1" w:rsidP="00256BC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256BC9">
        <w:rPr>
          <w:rFonts w:ascii="Times New Roman" w:hAnsi="Times New Roman"/>
          <w:bCs/>
          <w:sz w:val="24"/>
          <w:szCs w:val="24"/>
        </w:rPr>
        <w:t>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0C4CE1" w:rsidRPr="00256BC9" w:rsidRDefault="000C4CE1" w:rsidP="00256BC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где: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Дз– доля жителей, занимающихся физической культурой и спортом;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0C4CE1" w:rsidRPr="00256BC9" w:rsidRDefault="000C4CE1" w:rsidP="00256BC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Доля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где: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Чо - численность обучающихся Тарского района Омской области на начало года следующего за отчетным, согласно данным Омскстата.</w:t>
      </w:r>
    </w:p>
    <w:p w:rsidR="000C4CE1" w:rsidRPr="00256BC9" w:rsidRDefault="000C4CE1" w:rsidP="00256BC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где: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 Тарского района Омской области на начало года следующего за отчетным, согласно данным Омскстата.</w:t>
      </w:r>
    </w:p>
    <w:p w:rsidR="000C4CE1" w:rsidRPr="00256BC9" w:rsidRDefault="000C4CE1" w:rsidP="00256BC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 xml:space="preserve">доля граждан, </w:t>
      </w:r>
      <w:r w:rsidRPr="00256BC9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где: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Чнэ - численность населения Тарского района Омской области, занятого в экономике на начало года следующего за отчетным, согласно данным Омскстата.</w:t>
      </w:r>
    </w:p>
    <w:p w:rsidR="000C4CE1" w:rsidRPr="00256BC9" w:rsidRDefault="000C4CE1" w:rsidP="00256BC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256BC9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где: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256BC9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256BC9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0C4CE1" w:rsidRPr="00256BC9" w:rsidRDefault="000C4CE1" w:rsidP="00256BC9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256BC9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0C4CE1" w:rsidRPr="00256BC9" w:rsidRDefault="000C4CE1" w:rsidP="00256BC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256BC9">
        <w:rPr>
          <w:rFonts w:ascii="Times New Roman" w:hAnsi="Times New Roman"/>
          <w:bCs/>
          <w:sz w:val="24"/>
          <w:szCs w:val="24"/>
        </w:rPr>
        <w:t>процент)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где: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 xml:space="preserve">Уо – уровень обеспеченности </w:t>
      </w:r>
      <w:r w:rsidRPr="00256BC9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0C4CE1" w:rsidRPr="00256BC9" w:rsidRDefault="000C4CE1" w:rsidP="00256BC9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0C4CE1" w:rsidRPr="00256BC9" w:rsidRDefault="000C4CE1" w:rsidP="00256BC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35 лет, участвующих в деятельности молодежных общественных организаций и объединений</w:t>
      </w:r>
      <w:r w:rsidRPr="00256BC9">
        <w:rPr>
          <w:rFonts w:ascii="Times New Roman" w:hAnsi="Times New Roman"/>
          <w:sz w:val="24"/>
          <w:szCs w:val="24"/>
        </w:rPr>
        <w:t>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принимающих участие в деятельности детских и молодежных общественных организаций и объединений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35 лет, принимающих участие в деятельности детских и молодежных общественных организаций и объединений, сведения Омскстата численности молодежи в возрасте 14-35 лет.</w:t>
      </w:r>
    </w:p>
    <w:p w:rsidR="000C4CE1" w:rsidRPr="00256BC9" w:rsidRDefault="000C4CE1" w:rsidP="00256BC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256BC9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256BC9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35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14-35 лет.</w:t>
      </w:r>
    </w:p>
    <w:p w:rsidR="000C4CE1" w:rsidRPr="00256BC9" w:rsidRDefault="000C4CE1" w:rsidP="00256BC9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 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0C4CE1" w:rsidRPr="00256BC9" w:rsidRDefault="000C4CE1" w:rsidP="00256BC9">
      <w:pPr>
        <w:pStyle w:val="ConsPlusCell"/>
        <w:tabs>
          <w:tab w:val="left" w:pos="438"/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BC9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0C4CE1" w:rsidRPr="00256BC9" w:rsidRDefault="000C4CE1" w:rsidP="00256BC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6BC9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 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 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 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0C4CE1" w:rsidRPr="00256BC9" w:rsidRDefault="000C4CE1" w:rsidP="00256BC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56BC9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sectPr w:rsidR="000C4CE1" w:rsidRPr="00256BC9" w:rsidSect="00A06182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CE1" w:rsidRDefault="000C4CE1" w:rsidP="00386704">
      <w:pPr>
        <w:spacing w:line="240" w:lineRule="auto"/>
      </w:pPr>
      <w:r>
        <w:separator/>
      </w:r>
    </w:p>
  </w:endnote>
  <w:endnote w:type="continuationSeparator" w:id="0">
    <w:p w:rsidR="000C4CE1" w:rsidRDefault="000C4CE1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CE1" w:rsidRDefault="000C4CE1" w:rsidP="00386704">
      <w:pPr>
        <w:spacing w:line="240" w:lineRule="auto"/>
      </w:pPr>
      <w:r>
        <w:separator/>
      </w:r>
    </w:p>
  </w:footnote>
  <w:footnote w:type="continuationSeparator" w:id="0">
    <w:p w:rsidR="000C4CE1" w:rsidRDefault="000C4CE1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4CE1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56BC9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59E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452"/>
    <w:rsid w:val="008114F2"/>
    <w:rsid w:val="008116AE"/>
    <w:rsid w:val="00811994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81E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0ADE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7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2185</TotalTime>
  <Pages>10</Pages>
  <Words>4236</Words>
  <Characters>24148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Admin</cp:lastModifiedBy>
  <cp:revision>163</cp:revision>
  <cp:lastPrinted>2022-04-14T04:36:00Z</cp:lastPrinted>
  <dcterms:created xsi:type="dcterms:W3CDTF">2013-09-24T03:00:00Z</dcterms:created>
  <dcterms:modified xsi:type="dcterms:W3CDTF">2022-04-14T06:00:00Z</dcterms:modified>
</cp:coreProperties>
</file>