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1D" w:rsidRPr="002118E9" w:rsidRDefault="007E091D" w:rsidP="00450084">
      <w:pPr>
        <w:autoSpaceDE w:val="0"/>
        <w:autoSpaceDN w:val="0"/>
        <w:adjustRightInd w:val="0"/>
        <w:ind w:left="7740"/>
        <w:outlineLvl w:val="0"/>
        <w:rPr>
          <w:sz w:val="28"/>
          <w:szCs w:val="28"/>
        </w:rPr>
      </w:pPr>
      <w:r w:rsidRPr="002118E9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</w:p>
    <w:p w:rsidR="007E091D" w:rsidRPr="002118E9" w:rsidRDefault="007E091D" w:rsidP="00450084">
      <w:pPr>
        <w:autoSpaceDE w:val="0"/>
        <w:autoSpaceDN w:val="0"/>
        <w:adjustRightInd w:val="0"/>
        <w:ind w:left="7740"/>
        <w:rPr>
          <w:sz w:val="28"/>
          <w:szCs w:val="28"/>
        </w:rPr>
      </w:pPr>
      <w:r w:rsidRPr="002118E9">
        <w:rPr>
          <w:sz w:val="28"/>
          <w:szCs w:val="28"/>
        </w:rPr>
        <w:t>к Порядку принятия решений о разработке</w:t>
      </w:r>
    </w:p>
    <w:p w:rsidR="007E091D" w:rsidRPr="002118E9" w:rsidRDefault="007E091D" w:rsidP="00450084">
      <w:pPr>
        <w:autoSpaceDE w:val="0"/>
        <w:autoSpaceDN w:val="0"/>
        <w:adjustRightInd w:val="0"/>
        <w:ind w:left="7740"/>
        <w:rPr>
          <w:sz w:val="28"/>
          <w:szCs w:val="28"/>
        </w:rPr>
      </w:pPr>
      <w:r w:rsidRPr="002118E9">
        <w:rPr>
          <w:sz w:val="28"/>
          <w:szCs w:val="28"/>
        </w:rPr>
        <w:t xml:space="preserve">муниципальных программ </w:t>
      </w:r>
      <w:r>
        <w:rPr>
          <w:sz w:val="28"/>
          <w:szCs w:val="28"/>
        </w:rPr>
        <w:t xml:space="preserve"> Тарского</w:t>
      </w:r>
      <w:r w:rsidRPr="002118E9">
        <w:rPr>
          <w:sz w:val="28"/>
          <w:szCs w:val="28"/>
        </w:rPr>
        <w:t xml:space="preserve"> муниципального </w:t>
      </w:r>
    </w:p>
    <w:p w:rsidR="007E091D" w:rsidRPr="002118E9" w:rsidRDefault="007E091D" w:rsidP="00450084">
      <w:pPr>
        <w:autoSpaceDE w:val="0"/>
        <w:autoSpaceDN w:val="0"/>
        <w:adjustRightInd w:val="0"/>
        <w:ind w:left="7740"/>
        <w:rPr>
          <w:sz w:val="28"/>
          <w:szCs w:val="28"/>
        </w:rPr>
      </w:pPr>
      <w:r w:rsidRPr="002118E9">
        <w:rPr>
          <w:sz w:val="28"/>
          <w:szCs w:val="28"/>
        </w:rPr>
        <w:t>района Омской области, их формирования и реализации</w:t>
      </w:r>
    </w:p>
    <w:p w:rsidR="007E091D" w:rsidRPr="002118E9" w:rsidRDefault="007E091D" w:rsidP="004F7D4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E091D" w:rsidRPr="002118E9" w:rsidRDefault="007E091D" w:rsidP="004F7D4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18E9">
        <w:rPr>
          <w:rFonts w:ascii="Times New Roman" w:hAnsi="Times New Roman" w:cs="Times New Roman"/>
          <w:sz w:val="28"/>
          <w:szCs w:val="28"/>
        </w:rPr>
        <w:t>ОТЧЕТ</w:t>
      </w:r>
    </w:p>
    <w:p w:rsidR="007E091D" w:rsidRPr="00FC0DF3" w:rsidRDefault="007E091D" w:rsidP="00FC0DF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0DF3">
        <w:rPr>
          <w:rFonts w:ascii="Times New Roman" w:hAnsi="Times New Roman" w:cs="Times New Roman"/>
          <w:sz w:val="28"/>
          <w:szCs w:val="28"/>
        </w:rPr>
        <w:t>о реализации муниципальной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7E091D" w:rsidRPr="00FC0DF3" w:rsidRDefault="007E091D" w:rsidP="004F7D40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en-US"/>
        </w:rPr>
      </w:pPr>
      <w:r w:rsidRPr="00FC0DF3">
        <w:rPr>
          <w:sz w:val="28"/>
          <w:szCs w:val="28"/>
        </w:rPr>
        <w:t xml:space="preserve">на 1 января </w:t>
      </w:r>
      <w:r>
        <w:rPr>
          <w:sz w:val="28"/>
          <w:szCs w:val="28"/>
        </w:rPr>
        <w:t>2015</w:t>
      </w:r>
      <w:r w:rsidRPr="00FC0DF3">
        <w:rPr>
          <w:sz w:val="28"/>
          <w:szCs w:val="28"/>
        </w:rPr>
        <w:t xml:space="preserve"> года</w:t>
      </w:r>
    </w:p>
    <w:p w:rsidR="007E091D" w:rsidRPr="002118E9" w:rsidRDefault="007E091D" w:rsidP="004F7D4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</w:p>
    <w:tbl>
      <w:tblPr>
        <w:tblW w:w="152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127"/>
        <w:gridCol w:w="1701"/>
        <w:gridCol w:w="708"/>
        <w:gridCol w:w="2268"/>
        <w:gridCol w:w="1276"/>
        <w:gridCol w:w="1134"/>
        <w:gridCol w:w="1559"/>
        <w:gridCol w:w="993"/>
        <w:gridCol w:w="708"/>
        <w:gridCol w:w="1134"/>
        <w:gridCol w:w="1115"/>
      </w:tblGrid>
      <w:tr w:rsidR="007E091D" w:rsidRPr="002118E9" w:rsidTr="007B3469">
        <w:trPr>
          <w:cantSplit/>
          <w:trHeight w:val="63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ind w:left="-127"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091D" w:rsidRPr="002118E9" w:rsidRDefault="007E091D" w:rsidP="00980533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</w:p>
        </w:tc>
        <w:tc>
          <w:tcPr>
            <w:tcW w:w="5509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мероприятий муниципальной программы </w:t>
            </w:r>
          </w:p>
        </w:tc>
      </w:tr>
      <w:tr w:rsidR="007E091D" w:rsidRPr="002118E9" w:rsidTr="007B3469">
        <w:trPr>
          <w:cantSplit/>
          <w:trHeight w:val="7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7E091D" w:rsidRPr="002118E9" w:rsidRDefault="007E091D" w:rsidP="009805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 xml:space="preserve">Объем (рублей) 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-й год &lt;**&gt;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7E091D" w:rsidRPr="002118E9" w:rsidRDefault="007E091D" w:rsidP="009805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7E091D" w:rsidRPr="002118E9" w:rsidTr="007B3469">
        <w:trPr>
          <w:cantSplit/>
          <w:trHeight w:val="23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&lt;****&gt;</w:t>
            </w:r>
          </w:p>
        </w:tc>
        <w:tc>
          <w:tcPr>
            <w:tcW w:w="224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n-</w:t>
            </w: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й год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</w:tr>
      <w:tr w:rsidR="007E091D" w:rsidRPr="002118E9" w:rsidTr="007B3469">
        <w:trPr>
          <w:cantSplit/>
          <w:trHeight w:val="81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</w:tr>
    </w:tbl>
    <w:p w:rsidR="007E091D" w:rsidRPr="002118E9" w:rsidRDefault="007E091D" w:rsidP="004F7D40">
      <w:pPr>
        <w:rPr>
          <w:sz w:val="2"/>
          <w:szCs w:val="2"/>
        </w:rPr>
      </w:pPr>
    </w:p>
    <w:tbl>
      <w:tblPr>
        <w:tblW w:w="171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127"/>
        <w:gridCol w:w="1701"/>
        <w:gridCol w:w="708"/>
        <w:gridCol w:w="2268"/>
        <w:gridCol w:w="1276"/>
        <w:gridCol w:w="1134"/>
        <w:gridCol w:w="142"/>
        <w:gridCol w:w="1417"/>
        <w:gridCol w:w="993"/>
        <w:gridCol w:w="708"/>
        <w:gridCol w:w="1134"/>
        <w:gridCol w:w="1132"/>
        <w:gridCol w:w="1843"/>
      </w:tblGrid>
      <w:tr w:rsidR="007E091D" w:rsidRPr="002118E9" w:rsidTr="007B3469">
        <w:trPr>
          <w:gridAfter w:val="1"/>
          <w:wAfter w:w="1843" w:type="dxa"/>
          <w:cantSplit/>
          <w:trHeight w:val="2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br w:type="page"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E091D" w:rsidRPr="002118E9" w:rsidTr="00980533">
        <w:trPr>
          <w:gridAfter w:val="1"/>
          <w:wAfter w:w="1843" w:type="dxa"/>
          <w:cantSplit/>
          <w:trHeight w:val="240"/>
        </w:trPr>
        <w:tc>
          <w:tcPr>
            <w:tcW w:w="153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ind w:left="-212" w:firstLine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</w:tr>
      <w:tr w:rsidR="007E091D" w:rsidRPr="002118E9" w:rsidTr="00980533">
        <w:trPr>
          <w:gridAfter w:val="1"/>
          <w:wAfter w:w="1843" w:type="dxa"/>
          <w:cantSplit/>
          <w:trHeight w:val="240"/>
        </w:trPr>
        <w:tc>
          <w:tcPr>
            <w:tcW w:w="153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 xml:space="preserve">Задача 1 муниципальной программы </w:t>
            </w:r>
          </w:p>
        </w:tc>
      </w:tr>
      <w:tr w:rsidR="007E091D" w:rsidRPr="002118E9" w:rsidTr="00980533">
        <w:trPr>
          <w:gridAfter w:val="1"/>
          <w:wAfter w:w="1843" w:type="dxa"/>
          <w:cantSplit/>
          <w:trHeight w:val="240"/>
        </w:trPr>
        <w:tc>
          <w:tcPr>
            <w:tcW w:w="153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Цель подпрограммы 2 муниципальной программы: 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муниципальной программы: Создание условий для привлечения жителей Тарского муниципального района к регулярным занятиям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6627050,02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6627050,02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4896826,03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4896826,03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1730223,99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1730223,99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 xml:space="preserve">3. Средств бюджетов поселений __________ муниципального района Омской области </w:t>
            </w:r>
            <w:r w:rsidRPr="00CE107B">
              <w:t>&lt;*****&gt;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>4. Иных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-  «Развитие физической культуры и спорта»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2232051,00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2232051,00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E091D" w:rsidRPr="002118E9" w:rsidTr="007B3469">
        <w:trPr>
          <w:gridAfter w:val="1"/>
          <w:wAfter w:w="1843" w:type="dxa"/>
          <w:cantSplit/>
          <w:trHeight w:val="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2172051,00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2172051,00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 xml:space="preserve">3. Средств бюджетов поселений __________ муниципального района Омской области </w:t>
            </w:r>
            <w:r w:rsidRPr="00CE107B">
              <w:t>&lt;*****&gt;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>4. Иных внебюджетных источников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Мероприятие 1 – «Организация мероприятий по пропаганде физической культуры и спорта»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 xml:space="preserve">3. Средств бюджетов поселений __________ муниципального района Омской области </w:t>
            </w:r>
            <w:r w:rsidRPr="00CE107B">
              <w:t>&lt;*****&gt;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>4. Иных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Мероприятие 2 – «Развитие кадрового потенциала»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 xml:space="preserve">3. Средств бюджетов поселений __________ муниципального района Омской области </w:t>
            </w:r>
            <w:r w:rsidRPr="00CE107B">
              <w:t>&lt;*****&gt;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53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>4. Иных внебюджетных источников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8C4801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Мероприятие 3 – «Проведение спортивно-массовых мероприятий»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1706750,00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1706750,00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8C4801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1706750,00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1706750,00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118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4947A6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Мероприятие 4 – «Развитие материально-технической базы»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525301,00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525301,00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4947A6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465301,00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465301,00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485F">
        <w:trPr>
          <w:gridAfter w:val="1"/>
          <w:wAfter w:w="1843" w:type="dxa"/>
          <w:cantSplit/>
          <w:trHeight w:val="16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Тарского муниципального района Омской области «Новое поколение»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4394999,02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4394999,02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2724775,03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2724775,03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1670223,99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1670223,99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 xml:space="preserve">3. Средств бюджетов поселений __________ муниципального района Омской области </w:t>
            </w:r>
            <w:r w:rsidRPr="00CE107B">
              <w:t>&lt;*****&gt;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>4. Иных внебюджетных источников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 xml:space="preserve">3. Средств бюджетов поселений __________ муниципального района Омской области </w:t>
            </w:r>
            <w:r w:rsidRPr="00CE107B">
              <w:t>&lt;*****&gt;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>4. Иных внебюджетных источников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r w:rsidRPr="00CE107B">
              <w:t>удельный вес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>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3C2925">
            <w:pPr>
              <w:jc w:val="center"/>
            </w:pPr>
            <w:r w:rsidRPr="00CE107B">
              <w:t>13</w:t>
            </w: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r w:rsidRPr="00CE107B">
              <w:t>удельный вес численности молодых людей в возрасте от 14 до 30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>112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>113</w:t>
            </w: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r w:rsidRPr="00CE107B">
              <w:t>доля специалистов учреждений в сфере молодежной политики  и спорта Тарского муниципального района, принявших участие в мероприятиях, направленных на повышение эффективности реализации основных направлений молодежной политики и спорта (семинары, курсы повышения квалификации), от общего количества специалистов учреждений органов по делам молодежи и спорта Тарского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 xml:space="preserve">                  10,5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>10,5</w:t>
            </w: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r w:rsidRPr="00CE107B">
              <w:t xml:space="preserve">доля детей, подростков и молодежи в возрасте от 10 до 18 лет, охваченных организованными формами оздоровления и занятости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>16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  <w:r w:rsidRPr="00CE107B">
              <w:t>17</w:t>
            </w: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1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 xml:space="preserve">3. Средств бюджетов поселений __________ муниципального района Омской области </w:t>
            </w:r>
            <w:r w:rsidRPr="00CE107B">
              <w:t>&lt;*****&gt;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E107B">
              <w:rPr>
                <w:bCs/>
                <w:color w:val="000000"/>
              </w:rPr>
              <w:t>4. Иных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980533">
        <w:trPr>
          <w:gridAfter w:val="1"/>
          <w:wAfter w:w="1843" w:type="dxa"/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CE10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й программы</w:t>
            </w:r>
          </w:p>
        </w:tc>
      </w:tr>
      <w:tr w:rsidR="007E091D" w:rsidRPr="002118E9" w:rsidTr="007B3469">
        <w:trPr>
          <w:gridAfter w:val="1"/>
          <w:wAfter w:w="1843" w:type="dxa"/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ind w:left="-70"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(…)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jc w:val="center"/>
            </w:pPr>
          </w:p>
        </w:tc>
      </w:tr>
      <w:tr w:rsidR="007E091D" w:rsidRPr="002118E9" w:rsidTr="007B3469">
        <w:trPr>
          <w:cantSplit/>
          <w:trHeight w:val="240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CE107B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91D" w:rsidRPr="00CE107B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091D" w:rsidRPr="002118E9" w:rsidTr="007B3469">
        <w:trPr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91D" w:rsidRPr="002118E9" w:rsidRDefault="007E091D" w:rsidP="009805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</w:rPr>
              <w:t>2. Поступлений целевого характера из областного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91D" w:rsidRPr="002118E9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Pr="002118E9">
              <w:rPr>
                <w:bCs/>
                <w:color w:val="000000"/>
              </w:rPr>
              <w:t xml:space="preserve">. Средств бюджетов поселений __________ муниципального района Омской области </w:t>
            </w:r>
            <w:r>
              <w:t>&lt;*****</w:t>
            </w:r>
            <w:r w:rsidRPr="002118E9">
              <w:t>&gt;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1D" w:rsidRPr="002118E9" w:rsidTr="007B3469">
        <w:trPr>
          <w:cantSplit/>
          <w:trHeight w:val="24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91D" w:rsidRPr="002118E9" w:rsidRDefault="007E091D" w:rsidP="0098053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 w:rsidRPr="002118E9">
              <w:rPr>
                <w:bCs/>
                <w:color w:val="000000"/>
              </w:rPr>
              <w:t>. Иных внебюджетных источников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E091D" w:rsidRPr="002118E9" w:rsidRDefault="007E091D" w:rsidP="009805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091D" w:rsidRDefault="007E091D" w:rsidP="004F7D40">
      <w:pPr>
        <w:autoSpaceDE w:val="0"/>
        <w:autoSpaceDN w:val="0"/>
        <w:adjustRightInd w:val="0"/>
        <w:ind w:left="-1134" w:firstLine="1134"/>
        <w:jc w:val="both"/>
        <w:rPr>
          <w:sz w:val="28"/>
          <w:szCs w:val="28"/>
        </w:rPr>
      </w:pPr>
    </w:p>
    <w:p w:rsidR="007E091D" w:rsidRPr="002118E9" w:rsidRDefault="007E091D" w:rsidP="004F7D40">
      <w:pPr>
        <w:autoSpaceDE w:val="0"/>
        <w:autoSpaceDN w:val="0"/>
        <w:adjustRightInd w:val="0"/>
        <w:ind w:left="-1134" w:firstLine="1134"/>
        <w:jc w:val="both"/>
        <w:rPr>
          <w:sz w:val="28"/>
          <w:szCs w:val="28"/>
        </w:rPr>
      </w:pPr>
    </w:p>
    <w:p w:rsidR="007E091D" w:rsidRDefault="007E091D" w:rsidP="004F7D40">
      <w:pPr>
        <w:autoSpaceDE w:val="0"/>
        <w:autoSpaceDN w:val="0"/>
        <w:adjustRightInd w:val="0"/>
        <w:ind w:left="-993" w:firstLine="426"/>
        <w:jc w:val="both"/>
        <w:rPr>
          <w:sz w:val="28"/>
          <w:szCs w:val="28"/>
        </w:rPr>
      </w:pPr>
    </w:p>
    <w:p w:rsidR="007E091D" w:rsidRDefault="007E091D" w:rsidP="004F7D40">
      <w:pPr>
        <w:autoSpaceDE w:val="0"/>
        <w:autoSpaceDN w:val="0"/>
        <w:adjustRightInd w:val="0"/>
        <w:ind w:left="-993" w:firstLine="426"/>
        <w:jc w:val="both"/>
        <w:rPr>
          <w:sz w:val="28"/>
          <w:szCs w:val="28"/>
        </w:rPr>
      </w:pPr>
    </w:p>
    <w:p w:rsidR="007E091D" w:rsidRPr="002118E9" w:rsidRDefault="007E091D" w:rsidP="004F7D40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2118E9">
        <w:rPr>
          <w:sz w:val="28"/>
          <w:szCs w:val="28"/>
        </w:rPr>
        <w:t>&lt;*&gt; Заполнение отчета осуществляется исполнителем мероприятия, исполнителем основного мероприятия, исполнителем ведомственной целевой программы, соисполнителем     муниципальной программы и ответственным исполнителем муниципальной программы в части их компетенции.</w:t>
      </w:r>
    </w:p>
    <w:p w:rsidR="007E091D" w:rsidRPr="002118E9" w:rsidRDefault="007E091D" w:rsidP="004F7D40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2118E9">
        <w:rPr>
          <w:sz w:val="28"/>
          <w:szCs w:val="28"/>
        </w:rPr>
        <w:t>&lt;**&gt; Количество граф определяется в зависимости от сроков реализации муниципальной программы.</w:t>
      </w:r>
    </w:p>
    <w:p w:rsidR="007E091D" w:rsidRPr="002118E9" w:rsidRDefault="007E091D" w:rsidP="004F7D40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2118E9">
        <w:rPr>
          <w:sz w:val="28"/>
          <w:szCs w:val="28"/>
        </w:rPr>
        <w:t xml:space="preserve">&lt;***&gt; Отражается объем кассовых расходов, связанных с реализацией муниципальной программы, произведенных исполнителем муниципальной программы. </w:t>
      </w:r>
    </w:p>
    <w:p w:rsidR="007E091D" w:rsidRPr="002118E9" w:rsidRDefault="007E091D" w:rsidP="004F7D40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2118E9">
        <w:rPr>
          <w:sz w:val="28"/>
          <w:szCs w:val="28"/>
        </w:rPr>
        <w:t>&lt;****&gt; Для целевых индикаторов, измеряемых в относительном выражении, в графе "Всего" могут ставиться прочерки.</w:t>
      </w:r>
    </w:p>
    <w:p w:rsidR="007E091D" w:rsidRPr="002118E9" w:rsidRDefault="007E091D" w:rsidP="004F7D40">
      <w:pPr>
        <w:autoSpaceDE w:val="0"/>
        <w:autoSpaceDN w:val="0"/>
        <w:adjustRightInd w:val="0"/>
        <w:ind w:left="-284" w:firstLine="28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&lt;*****</w:t>
      </w:r>
      <w:r w:rsidRPr="002118E9">
        <w:rPr>
          <w:sz w:val="28"/>
          <w:szCs w:val="28"/>
        </w:rPr>
        <w:t>&gt;</w:t>
      </w:r>
      <w:r w:rsidRPr="002118E9">
        <w:rPr>
          <w:bCs/>
          <w:color w:val="000000"/>
          <w:sz w:val="28"/>
          <w:szCs w:val="28"/>
        </w:rPr>
        <w:t xml:space="preserve"> Указывается объем средств бюджета поселения </w:t>
      </w:r>
      <w:r>
        <w:rPr>
          <w:bCs/>
          <w:color w:val="000000"/>
          <w:sz w:val="28"/>
          <w:szCs w:val="28"/>
        </w:rPr>
        <w:t xml:space="preserve">Тарского </w:t>
      </w:r>
      <w:r w:rsidRPr="002118E9">
        <w:rPr>
          <w:bCs/>
          <w:color w:val="000000"/>
          <w:sz w:val="28"/>
          <w:szCs w:val="28"/>
        </w:rPr>
        <w:t xml:space="preserve"> муниципального района Омской области на реализацию аналогичных мероприятий, предусмотренных муниципальным правовым актом. </w:t>
      </w:r>
    </w:p>
    <w:p w:rsidR="007E091D" w:rsidRDefault="007E091D" w:rsidP="004F7D40">
      <w:r w:rsidRPr="002118E9">
        <w:rPr>
          <w:sz w:val="28"/>
          <w:szCs w:val="28"/>
        </w:rPr>
        <w:t>&lt;******&gt; Для ведомственных целевых программ мероприятия не указываются, указывается общий объем финансирования на её реализацию. По объектам капиталь</w:t>
      </w:r>
      <w:r>
        <w:rPr>
          <w:sz w:val="28"/>
          <w:szCs w:val="28"/>
        </w:rPr>
        <w:t xml:space="preserve">ного </w:t>
      </w:r>
      <w:r w:rsidRPr="002118E9">
        <w:rPr>
          <w:sz w:val="28"/>
          <w:szCs w:val="28"/>
        </w:rPr>
        <w:t>строительства из общего объема финансирования основного мероприятия необходимо выделять (отдельными строками) расходы на проектно-изыскательские и прочие работы и</w:t>
      </w:r>
    </w:p>
    <w:sectPr w:rsidR="007E091D" w:rsidSect="004F7D40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A1B"/>
    <w:rsid w:val="000927A1"/>
    <w:rsid w:val="001144F5"/>
    <w:rsid w:val="002118E9"/>
    <w:rsid w:val="003C2925"/>
    <w:rsid w:val="003D3A1B"/>
    <w:rsid w:val="00450084"/>
    <w:rsid w:val="004947A6"/>
    <w:rsid w:val="004F7D40"/>
    <w:rsid w:val="007B3469"/>
    <w:rsid w:val="007B485F"/>
    <w:rsid w:val="007B6434"/>
    <w:rsid w:val="007E091D"/>
    <w:rsid w:val="008C4801"/>
    <w:rsid w:val="00980533"/>
    <w:rsid w:val="00CE107B"/>
    <w:rsid w:val="00DE739B"/>
    <w:rsid w:val="00F02829"/>
    <w:rsid w:val="00FC0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D4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Normal"/>
    <w:uiPriority w:val="99"/>
    <w:rsid w:val="004F7D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F7D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F7D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45008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12</Pages>
  <Words>1136</Words>
  <Characters>6477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DesignerOPMP</dc:creator>
  <cp:keywords/>
  <dc:description/>
  <cp:lastModifiedBy>spec-keiums1</cp:lastModifiedBy>
  <cp:revision>6</cp:revision>
  <cp:lastPrinted>2015-07-10T05:18:00Z</cp:lastPrinted>
  <dcterms:created xsi:type="dcterms:W3CDTF">2015-05-19T04:43:00Z</dcterms:created>
  <dcterms:modified xsi:type="dcterms:W3CDTF">2015-07-10T05:19:00Z</dcterms:modified>
</cp:coreProperties>
</file>